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0E" w:rsidRPr="000B430E" w:rsidRDefault="000B430E" w:rsidP="000B430E">
      <w:pPr>
        <w:shd w:val="clear" w:color="auto" w:fill="FFFFFF"/>
        <w:spacing w:before="96" w:after="96"/>
        <w:outlineLvl w:val="0"/>
        <w:rPr>
          <w:rFonts w:ascii="europecondregular" w:hAnsi="europecondregular"/>
          <w:color w:val="9E362A"/>
          <w:kern w:val="36"/>
          <w:sz w:val="51"/>
          <w:szCs w:val="51"/>
        </w:rPr>
      </w:pPr>
      <w:r w:rsidRPr="000B430E">
        <w:rPr>
          <w:rFonts w:ascii="europecondregular" w:hAnsi="europecondregular"/>
          <w:color w:val="9E362A"/>
          <w:kern w:val="36"/>
          <w:sz w:val="51"/>
          <w:szCs w:val="51"/>
        </w:rPr>
        <w:t>Рекомендации</w:t>
      </w:r>
    </w:p>
    <w:p w:rsidR="000B430E" w:rsidRPr="000B430E" w:rsidRDefault="000B430E" w:rsidP="000B430E">
      <w:pPr>
        <w:shd w:val="clear" w:color="auto" w:fill="FFFFFF"/>
        <w:spacing w:after="100" w:afterAutospacing="1"/>
        <w:jc w:val="right"/>
        <w:rPr>
          <w:rFonts w:ascii="europecondregular" w:hAnsi="europecondregular"/>
          <w:color w:val="000000"/>
          <w:sz w:val="27"/>
          <w:szCs w:val="27"/>
        </w:rPr>
      </w:pPr>
      <w:r w:rsidRPr="000B430E">
        <w:rPr>
          <w:rFonts w:ascii="europecondregular" w:hAnsi="europecondregular"/>
          <w:b/>
          <w:bCs/>
          <w:color w:val="000000"/>
          <w:sz w:val="18"/>
          <w:szCs w:val="18"/>
        </w:rPr>
        <w:t>Утверждены</w:t>
      </w:r>
      <w:r w:rsidRPr="000B430E">
        <w:rPr>
          <w:rFonts w:ascii="europecondregular" w:hAnsi="europecondregular"/>
          <w:color w:val="000000"/>
          <w:sz w:val="27"/>
          <w:szCs w:val="27"/>
        </w:rPr>
        <w:br/>
      </w:r>
      <w:r w:rsidRPr="000B430E">
        <w:rPr>
          <w:rFonts w:ascii="europecondregular" w:hAnsi="europecondregular"/>
          <w:b/>
          <w:bCs/>
          <w:color w:val="000000"/>
          <w:sz w:val="18"/>
          <w:szCs w:val="18"/>
        </w:rPr>
        <w:t>Решением Совета ФПА РФ</w:t>
      </w:r>
      <w:r w:rsidRPr="000B430E">
        <w:rPr>
          <w:rFonts w:ascii="europecondregular" w:hAnsi="europecondregular"/>
          <w:color w:val="000000"/>
          <w:sz w:val="27"/>
          <w:szCs w:val="27"/>
        </w:rPr>
        <w:br/>
      </w:r>
      <w:r w:rsidRPr="000B430E">
        <w:rPr>
          <w:rFonts w:ascii="europecondregular" w:hAnsi="europecondregular"/>
          <w:b/>
          <w:bCs/>
          <w:color w:val="000000"/>
          <w:sz w:val="18"/>
          <w:szCs w:val="18"/>
        </w:rPr>
        <w:t>от 4 декабря 2017 г.</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1. Настоящие рекомендации разработаны в целях повышения эффективности работы адвокатов при исполнении требований законодательства о </w:t>
      </w:r>
      <w:bookmarkStart w:id="0" w:name="OLE_LINK1"/>
      <w:bookmarkStart w:id="1" w:name="OLE_LINK2"/>
      <w:bookmarkStart w:id="2" w:name="_GoBack"/>
      <w:r w:rsidRPr="000B430E">
        <w:rPr>
          <w:rFonts w:ascii="europecondregular" w:hAnsi="europecondregular"/>
          <w:color w:val="000000"/>
          <w:sz w:val="27"/>
          <w:szCs w:val="27"/>
        </w:rPr>
        <w:t>противодействии легализации (отмыванию) доходов, полученных преступным путем, и финансированию терроризма</w:t>
      </w:r>
      <w:bookmarkEnd w:id="0"/>
      <w:bookmarkEnd w:id="1"/>
      <w:bookmarkEnd w:id="2"/>
      <w:r w:rsidRPr="000B430E">
        <w:rPr>
          <w:rFonts w:ascii="europecondregular" w:hAnsi="europecondregular"/>
          <w:color w:val="000000"/>
          <w:sz w:val="27"/>
          <w:szCs w:val="27"/>
        </w:rPr>
        <w:t xml:space="preserve"> (далее – Рекомендации).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 Правовую основу Рекомендаций составляют:</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2.1. Конституция Российской Федерации и международные договоры Российской Федерации;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2.2. Федеральный закон от 7 августа 2001 г. № 115-ФЗ «О противодействии легализации (отмыванию) доходов, полученных преступным путем, и финансированию терроризма» (далее – Федеральный закон № 115-ФЗ);</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2.3. Федеральный закон от 31 мая 2002 г. № 63-ФЗ «Об адвокатской деятельности и адвокатуре в Российской Федерации» (далее – Федеральный закон № 63-ФЗ);</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2.4. Постановление Правительства Российской Федерации от 16 февраля 2005 г.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(далее – Постановление № 82);</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2.5. Постановление Правительства Российской Федерации от 30 июня 2012 г. №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(далее – Постановление № 667);</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2.6. </w:t>
      </w:r>
      <w:proofErr w:type="gramStart"/>
      <w:r w:rsidRPr="000B430E">
        <w:rPr>
          <w:rFonts w:ascii="europecondregular" w:hAnsi="europecondregular"/>
          <w:color w:val="000000"/>
          <w:sz w:val="27"/>
          <w:szCs w:val="27"/>
        </w:rPr>
        <w:t xml:space="preserve">Постановление Правительства Российской Федерации от 29 мая 2014 г.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w:t>
      </w:r>
      <w:proofErr w:type="spellStart"/>
      <w:r w:rsidRPr="000B430E">
        <w:rPr>
          <w:rFonts w:ascii="europecondregular" w:hAnsi="europecondregular"/>
          <w:color w:val="000000"/>
          <w:sz w:val="27"/>
          <w:szCs w:val="27"/>
        </w:rPr>
        <w:t>бенефициарных</w:t>
      </w:r>
      <w:proofErr w:type="spellEnd"/>
      <w:r w:rsidRPr="000B430E">
        <w:rPr>
          <w:rFonts w:ascii="europecondregular" w:hAnsi="europecondregular"/>
          <w:color w:val="000000"/>
          <w:sz w:val="27"/>
          <w:szCs w:val="27"/>
        </w:rPr>
        <w:t xml:space="preserve">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roofErr w:type="gramEnd"/>
      <w:r w:rsidRPr="000B430E">
        <w:rPr>
          <w:rFonts w:ascii="europecondregular" w:hAnsi="europecondregular"/>
          <w:color w:val="000000"/>
          <w:sz w:val="27"/>
          <w:szCs w:val="27"/>
        </w:rPr>
        <w:t>» (далее – Постановление № 492);</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lastRenderedPageBreak/>
        <w:t xml:space="preserve">2.7. </w:t>
      </w:r>
      <w:proofErr w:type="gramStart"/>
      <w:r w:rsidRPr="000B430E">
        <w:rPr>
          <w:rFonts w:ascii="europecondregular" w:hAnsi="europecondregular"/>
          <w:color w:val="000000"/>
          <w:sz w:val="27"/>
          <w:szCs w:val="27"/>
        </w:rPr>
        <w:t>Постановление Правительства Российской Федерации от 6 августа 2015 г.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(далее – Постановление № 804);</w:t>
      </w:r>
      <w:proofErr w:type="gramEnd"/>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2.8. Приказ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от 8 мая 2009 г. № 103 «Об утверждении Рекомендаций по разработке критериев выявления и определению признаков необычных сделок» (далее – Приказ № 103);</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2.9. Приказ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от 3 августа 2010 г. №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(далее – Приказ № 203);</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2.10. Приказ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от 22 апреля 2015 г.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Приказ № 110);</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2.11. Кодекс профессиональной этики адвоката принят Первым Всероссийским съездом адвокатов 31 января 2003 г.</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2.12. Иные федеральные законы и нормативные правовые акты по вопросам ПОД/ФТ.</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3. Настоящие Рекомендации могут дополняться и изменяться по мере развития законодательной базы и анализа имеющейся практики исполнения требований законодательства в области противодействия легализации (отмыванию) доходов, полученных преступным путем, и финансированию терроризма.</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4. </w:t>
      </w:r>
      <w:proofErr w:type="gramStart"/>
      <w:r w:rsidRPr="000B430E">
        <w:rPr>
          <w:rFonts w:ascii="europecondregular" w:hAnsi="europecondregular"/>
          <w:color w:val="000000"/>
          <w:sz w:val="27"/>
          <w:szCs w:val="27"/>
        </w:rPr>
        <w:t>Адвокаты, которые готовят или осуществляют от имени или по поручению своего доверителя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доверителя,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w:t>
      </w:r>
      <w:proofErr w:type="gramEnd"/>
      <w:r w:rsidRPr="000B430E">
        <w:rPr>
          <w:rFonts w:ascii="europecondregular" w:hAnsi="europecondregular"/>
          <w:color w:val="000000"/>
          <w:sz w:val="27"/>
          <w:szCs w:val="27"/>
        </w:rPr>
        <w:t>, а также куплю-продажу организаций, обязаны принимать меры, направленные на противодействия легализации (отмыванию) доходов, полученных преступным путем, и финансированию терроризма с учетом положений статьи 7.1 Федерального закона № 115-ФЗ.</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lastRenderedPageBreak/>
        <w:t>5. В соответствии с требованиями статьи 7.1 Федерального закона № 115-ФЗ адвокаты обязаны:</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5.1. Разработать правила внутреннего контроля.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Правила внутреннего контроля разрабатываются адвокатами с учетом Постановления № 667.</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5.2. Назначать специальных должностных лиц, ответственных за реализацию правил внутреннего контроля.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Квалификационные требования к специальным должностным лицам, ответственным за реализацию правил внутреннего контроля, в том числе для адвокатов, установленным Постановлением № 492.</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Согласно пунктам 2 и 4 Постановления № 492 адвокаты, возлагающие на себя функции специального должностного лица, обязаны пройти обучение в целях противодействия легализации (отмыванию) доходов, полученных преступным путем, и финансированию терроризма в соответствии с требованиями, установленными Федеральной службой по финансовому мониторингу.</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Адвокаты проходят вышеуказанное обучение с учетом Приказа № 203.</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В соответствии с требованиями пункта 2 статьи 7 Федерального закона № 115-ФЗ 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5.3. Идентифицировать доверителя (лицо, находящееся у него на обслуживании), установив следующие сведения:</w:t>
      </w:r>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6" w:history="1">
        <w:r w:rsidRPr="000B430E">
          <w:rPr>
            <w:rFonts w:ascii="europecondregular" w:hAnsi="europecondregular"/>
            <w:color w:val="9E0404"/>
            <w:sz w:val="27"/>
            <w:szCs w:val="27"/>
          </w:rPr>
          <w:t>документа</w:t>
        </w:r>
      </w:hyperlink>
      <w:r w:rsidRPr="000B430E">
        <w:rPr>
          <w:rFonts w:ascii="europecondregular" w:hAnsi="europecondregular"/>
          <w:color w:val="000000"/>
          <w:sz w:val="27"/>
          <w:szCs w:val="27"/>
        </w:rPr>
        <w:t>, удостоверяющего личность, данные </w:t>
      </w:r>
      <w:hyperlink r:id="rId7" w:history="1">
        <w:r w:rsidRPr="000B430E">
          <w:rPr>
            <w:rFonts w:ascii="europecondregular" w:hAnsi="europecondregular"/>
            <w:color w:val="9E0404"/>
            <w:sz w:val="27"/>
            <w:szCs w:val="27"/>
          </w:rPr>
          <w:t>миграционной карты</w:t>
        </w:r>
      </w:hyperlink>
      <w:r w:rsidRPr="000B430E">
        <w:rPr>
          <w:rFonts w:ascii="europecondregular" w:hAnsi="europecondregular"/>
          <w:color w:val="000000"/>
          <w:sz w:val="27"/>
          <w:szCs w:val="27"/>
        </w:rPr>
        <w:t>, </w:t>
      </w:r>
      <w:hyperlink r:id="rId8" w:history="1">
        <w:r w:rsidRPr="000B430E">
          <w:rPr>
            <w:rFonts w:ascii="europecondregular" w:hAnsi="europecondregular"/>
            <w:color w:val="9E0404"/>
            <w:sz w:val="27"/>
            <w:szCs w:val="27"/>
          </w:rPr>
          <w:t>документа</w:t>
        </w:r>
      </w:hyperlink>
      <w:r w:rsidRPr="000B430E">
        <w:rPr>
          <w:rFonts w:ascii="europecondregular" w:hAnsi="europecondregular"/>
          <w:color w:val="000000"/>
          <w:sz w:val="27"/>
          <w:szCs w:val="27"/>
        </w:rPr>
        <w:t>,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roofErr w:type="gramEnd"/>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w:t>
      </w:r>
      <w:r w:rsidRPr="000B430E">
        <w:rPr>
          <w:rFonts w:ascii="europecondregular" w:hAnsi="europecondregular"/>
          <w:color w:val="000000"/>
          <w:sz w:val="27"/>
          <w:szCs w:val="27"/>
        </w:rPr>
        <w:lastRenderedPageBreak/>
        <w:t>юридического лица на территории государства, в котором оно зарегистрировано;</w:t>
      </w:r>
      <w:proofErr w:type="gramEnd"/>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w:t>
      </w:r>
      <w:proofErr w:type="gramEnd"/>
      <w:r w:rsidRPr="000B430E">
        <w:rPr>
          <w:rFonts w:ascii="europecondregular" w:hAnsi="europecondregular"/>
          <w:color w:val="000000"/>
          <w:sz w:val="27"/>
          <w:szCs w:val="27"/>
        </w:rPr>
        <w:t xml:space="preserve"> </w:t>
      </w:r>
      <w:proofErr w:type="gramStart"/>
      <w:r w:rsidRPr="000B430E">
        <w:rPr>
          <w:rFonts w:ascii="europecondregular" w:hAnsi="europecondregular"/>
          <w:color w:val="000000"/>
          <w:sz w:val="27"/>
          <w:szCs w:val="27"/>
        </w:rPr>
        <w:t>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roofErr w:type="gramEnd"/>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5.4. В соответствии с правилами внутреннего контроля документально фиксировать информацию, полученную в результате их реализации и сохранять ее конфиденциальный характер.</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Основаниями документального фиксирования информации являются: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запутанный или необычный характер сделки, не имеющей очевидного экономического смысла или очевидной законной цели;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несоответствие сделки целям деятельности организации, установленным учредительными документами этой организации;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5.5. </w:t>
      </w:r>
      <w:proofErr w:type="gramStart"/>
      <w:r w:rsidRPr="000B430E">
        <w:rPr>
          <w:rFonts w:ascii="europecondregular" w:hAnsi="europecondregular"/>
          <w:color w:val="000000"/>
          <w:sz w:val="27"/>
          <w:szCs w:val="27"/>
        </w:rPr>
        <w:t>При наличии у адвоката любых оснований полагать, что сделки или финансовые операции, указанные в пункте 1 статьи 7.1 Федерального закона № 115-ФЗ, осуществляются или могут быть осуществлены в целях легализации (отмывания) доходов, полученных преступным путем, или финансирования терроризма (далее – подозрительные операции), он обязан уведомить об этом Федеральную службу по финансовому мониторингу в течение трех рабочих дней, следующих за днем выявления соответствующей</w:t>
      </w:r>
      <w:proofErr w:type="gramEnd"/>
      <w:r w:rsidRPr="000B430E">
        <w:rPr>
          <w:rFonts w:ascii="europecondregular" w:hAnsi="europecondregular"/>
          <w:color w:val="000000"/>
          <w:sz w:val="27"/>
          <w:szCs w:val="27"/>
        </w:rPr>
        <w:t xml:space="preserve"> операции (сделки).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lastRenderedPageBreak/>
        <w:t xml:space="preserve">Порядок представления адвокатами информации о подозрительных операциях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установлен Постановлением № 82 и Приказом № 110.</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Адвокаты представляют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вышеуказанную информацию в виде формализованных электронных сообщений (далее – ФЭС).</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Подготовка ФЭС осуществляется с помощью интерактивных форм, размещенных в Личном кабинете на официальном сайте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в информационно-телекоммуникационной сети «Интернет» (далее – Личный кабинет) по адресу: </w:t>
      </w:r>
      <w:hyperlink r:id="rId9" w:history="1">
        <w:r w:rsidRPr="000B430E">
          <w:rPr>
            <w:rFonts w:ascii="europecondregular" w:hAnsi="europecondregular"/>
            <w:color w:val="9E0404"/>
            <w:sz w:val="27"/>
            <w:szCs w:val="27"/>
          </w:rPr>
          <w:t>www.fedsfm.ru</w:t>
        </w:r>
      </w:hyperlink>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Подготовка ФЭС также может осуществляться с помощью автоматизированного комплекса программных средств по вводу, обработке и передаче информации, предоставляемого </w:t>
      </w:r>
      <w:proofErr w:type="spellStart"/>
      <w:r w:rsidRPr="000B430E">
        <w:rPr>
          <w:rFonts w:ascii="europecondregular" w:hAnsi="europecondregular"/>
          <w:color w:val="000000"/>
          <w:sz w:val="27"/>
          <w:szCs w:val="27"/>
        </w:rPr>
        <w:t>Росфинмониторингом</w:t>
      </w:r>
      <w:proofErr w:type="spellEnd"/>
      <w:r w:rsidRPr="000B430E">
        <w:rPr>
          <w:rFonts w:ascii="europecondregular" w:hAnsi="europecondregular"/>
          <w:color w:val="000000"/>
          <w:sz w:val="27"/>
          <w:szCs w:val="27"/>
        </w:rPr>
        <w:t xml:space="preserve"> (далее – АРМ), а также с помощью иного программного обеспечения, разработанного с учетом структур, приведенных в приложениях к Приказу № 110.</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ФЭС подписывается усиленной квалифицированной электронной подписью (далее – ЭП) адвоката.</w:t>
      </w:r>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10" w:history="1">
        <w:r w:rsidRPr="000B430E">
          <w:rPr>
            <w:rFonts w:ascii="europecondregular" w:hAnsi="europecondregular"/>
            <w:color w:val="9E0404"/>
            <w:sz w:val="27"/>
            <w:szCs w:val="27"/>
          </w:rPr>
          <w:t>Постановлением</w:t>
        </w:r>
      </w:hyperlink>
      <w:r w:rsidRPr="000B430E">
        <w:rPr>
          <w:rFonts w:ascii="europecondregular" w:hAnsi="europecondregular"/>
          <w:color w:val="000000"/>
          <w:sz w:val="27"/>
          <w:szCs w:val="27"/>
        </w:rPr>
        <w:t>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0B430E">
        <w:rPr>
          <w:rFonts w:ascii="europecondregular" w:hAnsi="europecondregular"/>
          <w:color w:val="000000"/>
          <w:sz w:val="27"/>
          <w:szCs w:val="27"/>
        </w:rPr>
        <w:t xml:space="preserve"> функций в электронной форме».</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Представление ФЭС осуществляется адвокатами с использованием Личного кабинета либо АРМ.</w:t>
      </w:r>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 xml:space="preserve">В случае невозможности представления ФЭС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через Личный кабинет или АРМ, до устранения причин, препятствующих представлению, ФЭС формируются с помощью Личного кабинета, АРМ либо иного программного обеспечения и представляются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на машинном носителе в виде электронного документа в формате </w:t>
      </w:r>
      <w:proofErr w:type="spellStart"/>
      <w:r w:rsidRPr="000B430E">
        <w:rPr>
          <w:rFonts w:ascii="europecondregular" w:hAnsi="europecondregular"/>
          <w:color w:val="000000"/>
          <w:sz w:val="27"/>
          <w:szCs w:val="27"/>
        </w:rPr>
        <w:t>xml</w:t>
      </w:r>
      <w:proofErr w:type="spellEnd"/>
      <w:r w:rsidRPr="000B430E">
        <w:rPr>
          <w:rFonts w:ascii="europecondregular" w:hAnsi="europecondregular"/>
          <w:color w:val="000000"/>
          <w:sz w:val="27"/>
          <w:szCs w:val="27"/>
        </w:rPr>
        <w:t>-файла, подписанного усиленной квалифицированной ЭП, с сопроводительным письмом нарочным или заказным почтовым отправлением с уведомлением о вручении с соблюдением</w:t>
      </w:r>
      <w:proofErr w:type="gramEnd"/>
      <w:r w:rsidRPr="000B430E">
        <w:rPr>
          <w:rFonts w:ascii="europecondregular" w:hAnsi="europecondregular"/>
          <w:color w:val="000000"/>
          <w:sz w:val="27"/>
          <w:szCs w:val="27"/>
        </w:rPr>
        <w:t xml:space="preserve">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lastRenderedPageBreak/>
        <w:t>Сопроводительное письмо должно содержать следующую информацию об адвокате:</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фамилия, имя, отчество;</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ИНН;</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почтовый адрес;</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номер сообщения;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дата сообщения;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вид сообщения;</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контактный телефон.</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В соответствии с пунктом 4 статьи 7.1 Федерального закона № 115-ФЗ адвокаты не вправе разглашать факт передачи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соответствующей информации.</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При этом согласно пункту 5 статьи 7.1 Федерального закона № 115-ФЗ требование о передаче информации в Федеральную службу по финансовому мониторингу не относится к сведениям, на которые распространяется законодательство Российской Федерации о соблюдении адвокатской тайны.</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Адвокаты при выявлении подозрительных операций вправе руководствоваться критериями и признаками необычных сделок, установленными Приказом № 103.</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5.6. Хранить документы и сведения, полученные при исполнении Федерального закона № 115-ФЗ, в срок не менее пяти лет со дня прекращения отношений с клиентом.</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6. </w:t>
      </w:r>
      <w:proofErr w:type="gramStart"/>
      <w:r w:rsidRPr="000B430E">
        <w:rPr>
          <w:rFonts w:ascii="europecondregular" w:hAnsi="europecondregular"/>
          <w:color w:val="000000"/>
          <w:sz w:val="27"/>
          <w:szCs w:val="27"/>
        </w:rPr>
        <w:t>Адвокаты в целях выявления среди своих клиентов лиц, в отношении которых имеются сведения об их причастности к экстремистской деятельности или терроризму, получаемые в соответствии с Федеральным законом № 115-ФЗ, обязаны получить доступ к перечню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roofErr w:type="gramEnd"/>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В соответствии с требованиями Постановления № 804 доступ к вышеуказанному перечню осуществляется только через Личные кабинеты.</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В целях получения доступа к перечню, а также организации работы по представлению в </w:t>
      </w:r>
      <w:proofErr w:type="spellStart"/>
      <w:r w:rsidRPr="000B430E">
        <w:rPr>
          <w:rFonts w:ascii="europecondregular" w:hAnsi="europecondregular"/>
          <w:color w:val="000000"/>
          <w:sz w:val="27"/>
          <w:szCs w:val="27"/>
        </w:rPr>
        <w:t>Росфинмониторинг</w:t>
      </w:r>
      <w:proofErr w:type="spellEnd"/>
      <w:r w:rsidRPr="000B430E">
        <w:rPr>
          <w:rFonts w:ascii="europecondregular" w:hAnsi="europecondregular"/>
          <w:color w:val="000000"/>
          <w:sz w:val="27"/>
          <w:szCs w:val="27"/>
        </w:rPr>
        <w:t xml:space="preserve"> сведений о подозрительных операциях адвокатам необходимо подключится к Личному кабинету.</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lastRenderedPageBreak/>
        <w:t>Порядок вышеуказанного подключения изложен в </w:t>
      </w:r>
      <w:hyperlink r:id="rId11" w:history="1">
        <w:r w:rsidRPr="000B430E">
          <w:rPr>
            <w:rFonts w:ascii="europecondregular" w:hAnsi="europecondregular"/>
            <w:color w:val="9E0404"/>
            <w:sz w:val="27"/>
            <w:szCs w:val="27"/>
          </w:rPr>
          <w:t>Информационном сообщении</w:t>
        </w:r>
      </w:hyperlink>
      <w:r w:rsidRPr="000B430E">
        <w:rPr>
          <w:rFonts w:ascii="europecondregular" w:hAnsi="europecondregular"/>
          <w:color w:val="000000"/>
          <w:sz w:val="27"/>
          <w:szCs w:val="27"/>
        </w:rPr>
        <w:t>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от 25 ноября 2016 г. «О необходимости подключения адвокатов к Личному кабинету на официальном сайте Федеральной службы по финансовому мониторингу».</w:t>
      </w:r>
    </w:p>
    <w:p w:rsidR="000B430E" w:rsidRPr="000B430E" w:rsidRDefault="000B430E" w:rsidP="000B430E">
      <w:pPr>
        <w:shd w:val="clear" w:color="auto" w:fill="FFFFFF"/>
        <w:spacing w:after="100" w:afterAutospacing="1"/>
        <w:rPr>
          <w:rFonts w:ascii="europecondregular" w:hAnsi="europecondregular"/>
          <w:color w:val="000000"/>
          <w:sz w:val="27"/>
          <w:szCs w:val="27"/>
        </w:rPr>
      </w:pPr>
      <w:proofErr w:type="gramStart"/>
      <w:r w:rsidRPr="000B430E">
        <w:rPr>
          <w:rFonts w:ascii="europecondregular" w:hAnsi="europecondregular"/>
          <w:color w:val="000000"/>
          <w:sz w:val="27"/>
          <w:szCs w:val="27"/>
        </w:rPr>
        <w:t xml:space="preserve">Для регистрации в личном кабинете на официальном сайте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без использования усиленной квалифицированной ЭП адвокатам, которые готовят или осуществляют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w:t>
      </w:r>
      <w:proofErr w:type="gramEnd"/>
      <w:r w:rsidRPr="000B430E">
        <w:rPr>
          <w:rFonts w:ascii="europecondregular" w:hAnsi="europecondregular"/>
          <w:color w:val="000000"/>
          <w:sz w:val="27"/>
          <w:szCs w:val="27"/>
        </w:rPr>
        <w:t>, обеспечения их деятельности или управления ими, создание организаций, обеспечение их деятельности или управления ими, а также куплю-продажу организаций, необходимо:</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 заполнить и отправить соответствующую заявку на подключение к личному кабинету на официальном сайте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размещенную по адресу </w:t>
      </w:r>
      <w:hyperlink r:id="rId12" w:history="1">
        <w:r w:rsidRPr="000B430E">
          <w:rPr>
            <w:rFonts w:ascii="europecondregular" w:hAnsi="europecondregular"/>
            <w:color w:val="9E0404"/>
            <w:sz w:val="27"/>
            <w:szCs w:val="27"/>
          </w:rPr>
          <w:t>https://portal.fedsfm.ru</w:t>
        </w:r>
      </w:hyperlink>
      <w:r w:rsidRPr="000B430E">
        <w:rPr>
          <w:rFonts w:ascii="europecondregular" w:hAnsi="europecondregular"/>
          <w:color w:val="000000"/>
          <w:sz w:val="27"/>
          <w:szCs w:val="27"/>
        </w:rPr>
        <w:t>;</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направить заявку на подключение к личному кабинету на бумажном носителе, полученную на указанный при заполнении электронной заявки адрес электронной почты, с подписью адвоката и печатью (при наличии) по адресу: 107450, г. Москва, ул. Мясницкая, д. 39, стр. 1.</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К заявке на бумажном носителе необходимо приложить скан-копию документа, подтверждающего статус адвоката.</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 xml:space="preserve">Для регистрации в личном кабинете с использованием ЭП необходимо с помощью интерактивной формы, размещенной в разделе «Регистрация с использованием электронной подписи» официального сайта </w:t>
      </w:r>
      <w:proofErr w:type="spellStart"/>
      <w:r w:rsidRPr="000B430E">
        <w:rPr>
          <w:rFonts w:ascii="europecondregular" w:hAnsi="europecondregular"/>
          <w:color w:val="000000"/>
          <w:sz w:val="27"/>
          <w:szCs w:val="27"/>
        </w:rPr>
        <w:t>Росфинмониторинга</w:t>
      </w:r>
      <w:proofErr w:type="spellEnd"/>
      <w:r w:rsidRPr="000B430E">
        <w:rPr>
          <w:rFonts w:ascii="europecondregular" w:hAnsi="europecondregular"/>
          <w:color w:val="000000"/>
          <w:sz w:val="27"/>
          <w:szCs w:val="27"/>
        </w:rPr>
        <w:t xml:space="preserve"> заполнить электронную заявку на регистрацию.</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Электронная заявка на регистрацию подписывается ЭП адвоката.</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После успешной первичной авторизации в личном кабинете адвокату необходимо изменить пароль доступа к своему личному кабинету.</w:t>
      </w:r>
    </w:p>
    <w:p w:rsidR="000B430E" w:rsidRPr="000B430E" w:rsidRDefault="000B430E" w:rsidP="000B430E">
      <w:pPr>
        <w:shd w:val="clear" w:color="auto" w:fill="FFFFFF"/>
        <w:spacing w:after="100" w:afterAutospacing="1"/>
        <w:rPr>
          <w:rFonts w:ascii="europecondregular" w:hAnsi="europecondregular"/>
          <w:color w:val="000000"/>
          <w:sz w:val="27"/>
          <w:szCs w:val="27"/>
        </w:rPr>
      </w:pPr>
      <w:r w:rsidRPr="000B430E">
        <w:rPr>
          <w:rFonts w:ascii="europecondregular" w:hAnsi="europecondregular"/>
          <w:color w:val="000000"/>
          <w:sz w:val="27"/>
          <w:szCs w:val="27"/>
        </w:rPr>
        <w:t>Адвокаты изучают схемы и типологии легализации (отмывания) преступных доходов и финансированию терроризма, размещенные в открытых источниках информации, а также в Личном кабинете.</w:t>
      </w:r>
    </w:p>
    <w:p w:rsidR="00D143AB" w:rsidRDefault="00D143AB"/>
    <w:sectPr w:rsidR="00D14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cond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11E8"/>
    <w:multiLevelType w:val="multilevel"/>
    <w:tmpl w:val="5C3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0E"/>
    <w:rsid w:val="000B430E"/>
    <w:rsid w:val="000E30B0"/>
    <w:rsid w:val="001C3C71"/>
    <w:rsid w:val="003900AB"/>
    <w:rsid w:val="00A80136"/>
    <w:rsid w:val="00D143AB"/>
    <w:rsid w:val="00FB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B0"/>
    <w:rPr>
      <w:sz w:val="24"/>
      <w:szCs w:val="24"/>
      <w:lang w:eastAsia="ru-RU"/>
    </w:rPr>
  </w:style>
  <w:style w:type="paragraph" w:styleId="3">
    <w:name w:val="heading 3"/>
    <w:basedOn w:val="a"/>
    <w:next w:val="a"/>
    <w:link w:val="30"/>
    <w:semiHidden/>
    <w:unhideWhenUsed/>
    <w:qFormat/>
    <w:rsid w:val="00FB67D5"/>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FB67D5"/>
    <w:rPr>
      <w:rFonts w:ascii="Arial" w:hAnsi="Arial" w:cs="Arial"/>
      <w:b/>
      <w:bCs/>
      <w:sz w:val="26"/>
      <w:szCs w:val="26"/>
    </w:rPr>
  </w:style>
  <w:style w:type="paragraph" w:styleId="a3">
    <w:name w:val="Balloon Text"/>
    <w:basedOn w:val="a"/>
    <w:link w:val="a4"/>
    <w:uiPriority w:val="99"/>
    <w:semiHidden/>
    <w:unhideWhenUsed/>
    <w:rsid w:val="000B430E"/>
    <w:rPr>
      <w:rFonts w:ascii="Tahoma" w:hAnsi="Tahoma" w:cs="Tahoma"/>
      <w:sz w:val="16"/>
      <w:szCs w:val="16"/>
    </w:rPr>
  </w:style>
  <w:style w:type="character" w:customStyle="1" w:styleId="a4">
    <w:name w:val="Текст выноски Знак"/>
    <w:basedOn w:val="a0"/>
    <w:link w:val="a3"/>
    <w:uiPriority w:val="99"/>
    <w:semiHidden/>
    <w:rsid w:val="000B430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B0"/>
    <w:rPr>
      <w:sz w:val="24"/>
      <w:szCs w:val="24"/>
      <w:lang w:eastAsia="ru-RU"/>
    </w:rPr>
  </w:style>
  <w:style w:type="paragraph" w:styleId="3">
    <w:name w:val="heading 3"/>
    <w:basedOn w:val="a"/>
    <w:next w:val="a"/>
    <w:link w:val="30"/>
    <w:semiHidden/>
    <w:unhideWhenUsed/>
    <w:qFormat/>
    <w:rsid w:val="00FB67D5"/>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FB67D5"/>
    <w:rPr>
      <w:rFonts w:ascii="Arial" w:hAnsi="Arial" w:cs="Arial"/>
      <w:b/>
      <w:bCs/>
      <w:sz w:val="26"/>
      <w:szCs w:val="26"/>
    </w:rPr>
  </w:style>
  <w:style w:type="paragraph" w:styleId="a3">
    <w:name w:val="Balloon Text"/>
    <w:basedOn w:val="a"/>
    <w:link w:val="a4"/>
    <w:uiPriority w:val="99"/>
    <w:semiHidden/>
    <w:unhideWhenUsed/>
    <w:rsid w:val="000B430E"/>
    <w:rPr>
      <w:rFonts w:ascii="Tahoma" w:hAnsi="Tahoma" w:cs="Tahoma"/>
      <w:sz w:val="16"/>
      <w:szCs w:val="16"/>
    </w:rPr>
  </w:style>
  <w:style w:type="character" w:customStyle="1" w:styleId="a4">
    <w:name w:val="Текст выноски Знак"/>
    <w:basedOn w:val="a0"/>
    <w:link w:val="a3"/>
    <w:uiPriority w:val="99"/>
    <w:semiHidden/>
    <w:rsid w:val="000B430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5885">
      <w:bodyDiv w:val="1"/>
      <w:marLeft w:val="0"/>
      <w:marRight w:val="0"/>
      <w:marTop w:val="0"/>
      <w:marBottom w:val="0"/>
      <w:divBdr>
        <w:top w:val="none" w:sz="0" w:space="0" w:color="auto"/>
        <w:left w:val="none" w:sz="0" w:space="0" w:color="auto"/>
        <w:bottom w:val="none" w:sz="0" w:space="0" w:color="auto"/>
        <w:right w:val="none" w:sz="0" w:space="0" w:color="auto"/>
      </w:divBdr>
      <w:divsChild>
        <w:div w:id="1696541822">
          <w:marLeft w:val="0"/>
          <w:marRight w:val="0"/>
          <w:marTop w:val="0"/>
          <w:marBottom w:val="30"/>
          <w:divBdr>
            <w:top w:val="none" w:sz="0" w:space="0" w:color="auto"/>
            <w:left w:val="none" w:sz="0" w:space="0" w:color="auto"/>
            <w:bottom w:val="none" w:sz="0" w:space="0" w:color="auto"/>
            <w:right w:val="none" w:sz="0" w:space="0" w:color="auto"/>
          </w:divBdr>
          <w:divsChild>
            <w:div w:id="1193955161">
              <w:marLeft w:val="0"/>
              <w:marRight w:val="0"/>
              <w:marTop w:val="0"/>
              <w:marBottom w:val="0"/>
              <w:divBdr>
                <w:top w:val="none" w:sz="0" w:space="0" w:color="auto"/>
                <w:left w:val="none" w:sz="0" w:space="0" w:color="auto"/>
                <w:bottom w:val="none" w:sz="0" w:space="0" w:color="auto"/>
                <w:right w:val="none" w:sz="0" w:space="0" w:color="auto"/>
              </w:divBdr>
              <w:divsChild>
                <w:div w:id="318509653">
                  <w:marLeft w:val="0"/>
                  <w:marRight w:val="0"/>
                  <w:marTop w:val="0"/>
                  <w:marBottom w:val="0"/>
                  <w:divBdr>
                    <w:top w:val="none" w:sz="0" w:space="0" w:color="auto"/>
                    <w:left w:val="none" w:sz="0" w:space="0" w:color="auto"/>
                    <w:bottom w:val="none" w:sz="0" w:space="0" w:color="auto"/>
                    <w:right w:val="none" w:sz="0" w:space="0" w:color="auto"/>
                  </w:divBdr>
                  <w:divsChild>
                    <w:div w:id="25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613">
              <w:marLeft w:val="0"/>
              <w:marRight w:val="0"/>
              <w:marTop w:val="0"/>
              <w:marBottom w:val="0"/>
              <w:divBdr>
                <w:top w:val="none" w:sz="0" w:space="0" w:color="auto"/>
                <w:left w:val="none" w:sz="0" w:space="0" w:color="auto"/>
                <w:bottom w:val="none" w:sz="0" w:space="0" w:color="auto"/>
                <w:right w:val="none" w:sz="0" w:space="0" w:color="auto"/>
              </w:divBdr>
              <w:divsChild>
                <w:div w:id="1866946397">
                  <w:marLeft w:val="0"/>
                  <w:marRight w:val="0"/>
                  <w:marTop w:val="0"/>
                  <w:marBottom w:val="0"/>
                  <w:divBdr>
                    <w:top w:val="none" w:sz="0" w:space="0" w:color="auto"/>
                    <w:left w:val="none" w:sz="0" w:space="0" w:color="auto"/>
                    <w:bottom w:val="none" w:sz="0" w:space="0" w:color="auto"/>
                    <w:right w:val="none" w:sz="0" w:space="0" w:color="auto"/>
                  </w:divBdr>
                  <w:divsChild>
                    <w:div w:id="1348673578">
                      <w:marLeft w:val="0"/>
                      <w:marRight w:val="0"/>
                      <w:marTop w:val="0"/>
                      <w:marBottom w:val="0"/>
                      <w:divBdr>
                        <w:top w:val="none" w:sz="0" w:space="0" w:color="auto"/>
                        <w:left w:val="none" w:sz="0" w:space="0" w:color="auto"/>
                        <w:bottom w:val="none" w:sz="0" w:space="0" w:color="auto"/>
                        <w:right w:val="none" w:sz="0" w:space="0" w:color="auto"/>
                      </w:divBdr>
                      <w:divsChild>
                        <w:div w:id="550044944">
                          <w:marLeft w:val="150"/>
                          <w:marRight w:val="0"/>
                          <w:marTop w:val="0"/>
                          <w:marBottom w:val="0"/>
                          <w:divBdr>
                            <w:top w:val="none" w:sz="0" w:space="0" w:color="auto"/>
                            <w:left w:val="none" w:sz="0" w:space="0" w:color="auto"/>
                            <w:bottom w:val="none" w:sz="0" w:space="0" w:color="auto"/>
                            <w:right w:val="none" w:sz="0" w:space="0" w:color="auto"/>
                          </w:divBdr>
                        </w:div>
                        <w:div w:id="855578222">
                          <w:marLeft w:val="150"/>
                          <w:marRight w:val="0"/>
                          <w:marTop w:val="0"/>
                          <w:marBottom w:val="0"/>
                          <w:divBdr>
                            <w:top w:val="none" w:sz="0" w:space="0" w:color="auto"/>
                            <w:left w:val="none" w:sz="0" w:space="0" w:color="auto"/>
                            <w:bottom w:val="none" w:sz="0" w:space="0" w:color="auto"/>
                            <w:right w:val="none" w:sz="0" w:space="0" w:color="auto"/>
                          </w:divBdr>
                        </w:div>
                        <w:div w:id="2557912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1627">
              <w:marLeft w:val="0"/>
              <w:marRight w:val="0"/>
              <w:marTop w:val="0"/>
              <w:marBottom w:val="30"/>
              <w:divBdr>
                <w:top w:val="none" w:sz="0" w:space="0" w:color="auto"/>
                <w:left w:val="none" w:sz="0" w:space="0" w:color="auto"/>
                <w:bottom w:val="none" w:sz="0" w:space="0" w:color="auto"/>
                <w:right w:val="none" w:sz="0" w:space="0" w:color="auto"/>
              </w:divBdr>
              <w:divsChild>
                <w:div w:id="13608189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92E0DFDFBA79E5521250F990C30EE5E1FF92D3DA3F04F46605A9E727EF9491240C8F2E1B88205WDx9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7B92E0DFDFBA79E5521250F990C30EE5917F12C39A0AD454E39569C7571A65E1509C4F3E1B882W0x5K" TargetMode="External"/><Relationship Id="rId12" Type="http://schemas.openxmlformats.org/officeDocument/2006/relationships/hyperlink" Target="https://portal.fedsf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B92E0DFDFBA79E5521250F990C30EE5E1FF92D3DA3F04F46605A9E727EF9491240C8F2E1B88204WDx8K" TargetMode="External"/><Relationship Id="rId11" Type="http://schemas.openxmlformats.org/officeDocument/2006/relationships/hyperlink" Target="http://fparf.ru/documents/resheniya_pod_ft/42088/" TargetMode="External"/><Relationship Id="rId5" Type="http://schemas.openxmlformats.org/officeDocument/2006/relationships/webSettings" Target="webSettings.xml"/><Relationship Id="rId10" Type="http://schemas.openxmlformats.org/officeDocument/2006/relationships/hyperlink" Target="consultantplus://offline/ref=24B6C96AD6813BC6BB1988A5437B1895EC38AA08722261BE84D7645EF52AC5H" TargetMode="External"/><Relationship Id="rId4" Type="http://schemas.openxmlformats.org/officeDocument/2006/relationships/settings" Target="settings.xml"/><Relationship Id="rId9" Type="http://schemas.openxmlformats.org/officeDocument/2006/relationships/hyperlink" Target="http://www.fedsf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2018-12-13T11:45:00Z</dcterms:created>
  <dcterms:modified xsi:type="dcterms:W3CDTF">2018-12-18T12:38:00Z</dcterms:modified>
</cp:coreProperties>
</file>